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75EF6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beforeAutospacing="0" w:afterAutospacing="0" w:line="600" w:lineRule="exact"/>
        <w:ind w:left="0" w:leftChars="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color w:val="000000"/>
          <w:spacing w:val="0"/>
          <w:w w:val="100"/>
          <w:kern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/>
          <w:spacing w:val="0"/>
          <w:w w:val="100"/>
          <w:sz w:val="32"/>
          <w:szCs w:val="32"/>
        </w:rPr>
        <w:t>附件1</w:t>
      </w:r>
    </w:p>
    <w:p w14:paraId="6C314E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600" w:lineRule="exact"/>
        <w:ind w:left="0" w:leftChars="0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 w:val="0"/>
          <w:color w:val="000000"/>
          <w:spacing w:val="0"/>
          <w:w w:val="100"/>
          <w:kern w:val="0"/>
          <w:sz w:val="44"/>
          <w:szCs w:val="44"/>
        </w:rPr>
      </w:pPr>
      <w:bookmarkStart w:id="0" w:name="_GoBack"/>
      <w:r>
        <w:rPr>
          <w:rFonts w:hint="default" w:ascii="Times New Roman" w:hAnsi="Times New Roman" w:eastAsia="方正小标宋_GBK" w:cs="Times New Roman"/>
          <w:b w:val="0"/>
          <w:bCs w:val="0"/>
          <w:color w:val="000000"/>
          <w:spacing w:val="0"/>
          <w:w w:val="100"/>
          <w:kern w:val="0"/>
          <w:sz w:val="44"/>
          <w:szCs w:val="44"/>
        </w:rPr>
        <w:t>参加评估的</w:t>
      </w:r>
      <w:r>
        <w:rPr>
          <w:rFonts w:hint="default" w:ascii="Times New Roman" w:hAnsi="Times New Roman" w:eastAsia="方正小标宋_GBK" w:cs="Times New Roman"/>
          <w:b w:val="0"/>
          <w:bCs w:val="0"/>
          <w:color w:val="000000"/>
          <w:spacing w:val="0"/>
          <w:w w:val="100"/>
          <w:kern w:val="0"/>
          <w:sz w:val="44"/>
          <w:szCs w:val="44"/>
          <w:lang w:eastAsia="zh-CN"/>
        </w:rPr>
        <w:t>省重点实验室</w:t>
      </w:r>
      <w:r>
        <w:rPr>
          <w:rFonts w:hint="default" w:ascii="Times New Roman" w:hAnsi="Times New Roman" w:eastAsia="方正小标宋_GBK" w:cs="Times New Roman"/>
          <w:b w:val="0"/>
          <w:bCs w:val="0"/>
          <w:color w:val="000000"/>
          <w:spacing w:val="0"/>
          <w:w w:val="100"/>
          <w:kern w:val="0"/>
          <w:sz w:val="44"/>
          <w:szCs w:val="44"/>
        </w:rPr>
        <w:t>名单</w:t>
      </w:r>
    </w:p>
    <w:bookmarkEnd w:id="0"/>
    <w:p w14:paraId="013919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600" w:lineRule="exact"/>
        <w:ind w:left="0" w:leftChars="0"/>
        <w:jc w:val="center"/>
        <w:textAlignment w:val="auto"/>
        <w:rPr>
          <w:rFonts w:hint="default" w:ascii="Times New Roman" w:hAnsi="Times New Roman" w:eastAsia="楷体_GB2312" w:cs="Times New Roman"/>
          <w:b w:val="0"/>
          <w:bCs w:val="0"/>
          <w:color w:val="000000"/>
          <w:spacing w:val="0"/>
          <w:w w:val="100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b w:val="0"/>
          <w:bCs w:val="0"/>
          <w:color w:val="000000"/>
          <w:spacing w:val="0"/>
          <w:w w:val="100"/>
          <w:kern w:val="0"/>
          <w:sz w:val="32"/>
          <w:szCs w:val="32"/>
          <w:lang w:eastAsia="zh-CN"/>
        </w:rPr>
        <w:t>（共</w:t>
      </w:r>
      <w:r>
        <w:rPr>
          <w:rFonts w:hint="default" w:ascii="Times New Roman" w:hAnsi="Times New Roman" w:eastAsia="楷体_GB2312" w:cs="Times New Roman"/>
          <w:b w:val="0"/>
          <w:bCs w:val="0"/>
          <w:color w:val="000000"/>
          <w:spacing w:val="0"/>
          <w:w w:val="100"/>
          <w:kern w:val="0"/>
          <w:sz w:val="32"/>
          <w:szCs w:val="32"/>
          <w:lang w:val="en" w:eastAsia="zh-CN"/>
        </w:rPr>
        <w:t>104</w:t>
      </w:r>
      <w:r>
        <w:rPr>
          <w:rFonts w:hint="default" w:ascii="Times New Roman" w:hAnsi="Times New Roman" w:eastAsia="楷体_GB2312" w:cs="Times New Roman"/>
          <w:b w:val="0"/>
          <w:bCs w:val="0"/>
          <w:color w:val="000000"/>
          <w:spacing w:val="0"/>
          <w:w w:val="100"/>
          <w:kern w:val="0"/>
          <w:sz w:val="32"/>
          <w:szCs w:val="32"/>
          <w:lang w:val="en-US" w:eastAsia="zh-CN"/>
        </w:rPr>
        <w:t>家</w:t>
      </w:r>
      <w:r>
        <w:rPr>
          <w:rFonts w:hint="default" w:ascii="Times New Roman" w:hAnsi="Times New Roman" w:eastAsia="楷体_GB2312" w:cs="Times New Roman"/>
          <w:b w:val="0"/>
          <w:bCs w:val="0"/>
          <w:color w:val="000000"/>
          <w:spacing w:val="0"/>
          <w:w w:val="100"/>
          <w:kern w:val="0"/>
          <w:sz w:val="32"/>
          <w:szCs w:val="32"/>
          <w:lang w:eastAsia="zh-CN"/>
        </w:rPr>
        <w:t>）</w:t>
      </w:r>
    </w:p>
    <w:tbl>
      <w:tblPr>
        <w:tblStyle w:val="10"/>
        <w:tblW w:w="945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51" w:type="dxa"/>
          <w:bottom w:w="0" w:type="dxa"/>
          <w:right w:w="51" w:type="dxa"/>
        </w:tblCellMar>
      </w:tblPr>
      <w:tblGrid>
        <w:gridCol w:w="735"/>
        <w:gridCol w:w="3377"/>
        <w:gridCol w:w="3262"/>
        <w:gridCol w:w="2085"/>
      </w:tblGrid>
      <w:tr w14:paraId="085013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tblHeader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8FDF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600" w:lineRule="exact"/>
              <w:ind w:left="0" w:leftChars="0" w:right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F28F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600" w:lineRule="exact"/>
              <w:ind w:left="0" w:leftChars="0" w:right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实验室名称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5444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600" w:lineRule="exact"/>
              <w:ind w:left="0" w:leftChars="0" w:right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依托单位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403F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600" w:lineRule="exact"/>
              <w:ind w:left="0" w:leftChars="0" w:right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主管部门</w:t>
            </w:r>
          </w:p>
        </w:tc>
      </w:tr>
      <w:tr w14:paraId="628165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939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3E0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河南省脑科学与脑机接口技术重点实验室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E11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FDB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093F70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08F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C2CC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河南省激光与光电信息技术重点实验室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6B1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993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29D650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3E85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C34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河南省大数据分析与处理重点实验室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2D5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河南大学，哈工大郑州研究院，山谷网安科技股份有限公司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A7A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46141B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77C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04A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河南省机器人与智能系统重点实验室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644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河南科技大学，中信重工机械股份有限公司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609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11CAAD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873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BDD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河南省红外光谱测量与应用重点实验室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298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河南师范大学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7F9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752797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A27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51F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河南省光电传感集成应用重点实验室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32E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河南师范大学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B96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河南省教育厅、新乡市科学技术局</w:t>
            </w:r>
          </w:p>
        </w:tc>
      </w:tr>
      <w:tr w14:paraId="4B2B25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AE8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ECB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河南省教育人工智能与个性化学习重点实验室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BCA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河南师范大学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C04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河南省教育厅、郑州市科学技术局</w:t>
            </w:r>
          </w:p>
        </w:tc>
      </w:tr>
      <w:tr w14:paraId="7A08C2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7FE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618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河南省时空信息感知与智能服务重点实验室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56E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河南理工大学，河南省测绘地理信息技术中心，河南智联时空信息科技有限公司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19D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0A3DC8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9A4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3B4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河南省物联网感知技术与系统重点实验室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3C8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河南省科学院应用物理研究所有限公司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0DB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河南省科学院</w:t>
            </w:r>
          </w:p>
        </w:tc>
      </w:tr>
      <w:tr w14:paraId="466F11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BD9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1D3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河南省煤矿装备智能检测与控制重点实验室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398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河南理工大学，郑州煤矿机械集团股份有限公司，许继电气股份有限公司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3B2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01CA0E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0A6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1A0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河南省过程传热与节能重点实验室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488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EBB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1FA23B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7FF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A5E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河南省机械设计及传动系统重点实验室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000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河南科技大学，中信重工机械股份有限公司，洛阳轴承集团股份有限公司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CCE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57510E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8232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C01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河南省超硬磨料磨削装备重点实验室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A3F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河南工业大学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6CF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42DF6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7FB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C03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河南省先进轻合金重点实验室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90A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郑州大学，河南空天新材料研究院有限公司，国家镁及镁合金产品质量监督检验中心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4D4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5CAF78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76F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308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河南省先进尼龙材料及应用重点实验室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2A1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郑州大学，河南先宁新材料科技研究院有限公司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9289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5B52FD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680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3AD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河南省高温功能材料重点实验室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750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AC9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4FD07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AE2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903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河南省晶态分子功能材料与器件重点实验室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CB2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郑州大学，濮阳市盛源集团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28A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5FB911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C3C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3252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河南省绿色催化加氢重点实验室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028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2696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4606BE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B1B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B31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河南省微成型技术重点实验室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EE9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A6F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2FC11E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4A4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394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河南省金刚石材料与器件重点实验室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E42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郑州大学，黄河旋风股份有限公司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9EF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河南省教育厅、许昌市科学技术局</w:t>
            </w:r>
          </w:p>
        </w:tc>
      </w:tr>
      <w:tr w14:paraId="2C99A1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C73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045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河南省纳米光电材料与器件重点实验室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F62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河南大学，信阳市谷麦光电子科技有限公司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3C0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36AC10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3C85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A50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河南省多酸制备与应用重点实验室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057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河南大学，濮阳市联众兴业化工有限公司，许昌永旭新材料科技有限公司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6D9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1E031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789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CF5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河南省摩擦学材料与技术重点实验室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C82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河南科技大学，洛阳轴承研究所有限公司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7FA2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0DEC6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DDD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FBF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河南省高温金属结构与功能材料重点实验室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E9D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河南科技大学，丰联科光电(洛阳)股份有限公司，中航锂电(洛阳)有限公司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FCA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1DE21D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337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8C9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河南省光电储能材料与应用重点实验室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68A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河南科技大学，麦斯克电子材料股份有限公司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9A5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66FC37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C89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A63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河南省有色金属材料科学与加工技术重点实验室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2DD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河南科技大学，中铝洛阳铜业有限公司，中航光电科技股份有限公司，河南省科学院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2D0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17E863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C3A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484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河南省绿色化学介质与反应重点实验室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319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河南师范大学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994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4224F7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68D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4C04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河南省硼化学与先进材料重点实验室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4F0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河南师范大学，郑州大学，河南心连心化学工业集团股份有限公司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EF4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河南省教育厅、郑州市科学技术局</w:t>
            </w:r>
          </w:p>
        </w:tc>
      </w:tr>
      <w:tr w14:paraId="54AE48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ABC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E9B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河南省深地材料科学与技术重点实验室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DA2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河南理工大学，焦作煤业（集团）有限责任公司，多氟多新材料股份有限公司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536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4814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309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4802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河南省化学催化重点实验室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72A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河南省化工研究所有限责任公司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C5E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河南省科学院</w:t>
            </w:r>
          </w:p>
        </w:tc>
      </w:tr>
      <w:tr w14:paraId="678587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A2C9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562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河南省辐射化学新材料重点实验室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639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河南科高辐射化工科技有限公司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211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河南省科学院</w:t>
            </w:r>
          </w:p>
        </w:tc>
      </w:tr>
      <w:tr w14:paraId="7BEA8C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C3F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5F2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河南省煤炭绿色转化重点实验室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B94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河南理工大学，永煤集团股份有限公司，多氟多新能源科技有限公司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730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067464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5FC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B3C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河南省生物质能源重点实验室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291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河南省科学院能源研究所有限公司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A60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河南省科学院</w:t>
            </w:r>
          </w:p>
        </w:tc>
      </w:tr>
      <w:tr w14:paraId="2DFB58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47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85E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河南省化学生物与有机化学重点实验室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4743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E0D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0E0F68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2F2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3C5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河南省功能生物大分子重点实验室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A55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0F4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799C43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690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0E9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河南省免疫生物学重点实验室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4C4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91F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53B697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546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B46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河南省肿瘤流行病学重点实验室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AE1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D47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04EE41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361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EAB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河南省消化器官移植重点实验室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847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8A6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7FA7B5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F66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729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河南省精准临床药学重点实验室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C68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1B6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7B0E0C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64C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93E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河南省肿瘤免疫与生物治疗重点实验室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3BF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20B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120E47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7CB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ECC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河南省心脏损伤修复重点实验室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B1D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875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72CE81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F92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DF0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河南省脑血管病重点实验室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B21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FC7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736E40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6E6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A9B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河南省消化肿瘤影像重点实验室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B86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041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3B014B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6AB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3A36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河南省肿瘤病理重点实验室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987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66F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6D30C3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D3B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143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河南省小儿脑损伤重点实验室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DA8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60B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415D85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CC6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429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河南省幽门螺杆菌与消化道微生态重点实验室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884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1CB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1A0126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A62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359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河南省脑靶向生物纳米药物重点实验室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7AE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河南大学，郑州深蓝海生物医药科技有限公司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1BB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66EEE7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9CB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BC6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河南省心理与行为重点实验室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3F10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河南大学，新乡医学院，河南心理健康产业发展有限公司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8CB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254DB1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5EA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ED55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河南省天然药物创新与转化重点实验室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0F0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河南大学，河南诺美药业有限公司，瑞之恩生物科技（河南）有限公司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4BCE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34E93E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9D4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EA02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河南省干细胞临床应用与关键技术重点实验室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034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河南大学，河南省人民医院，河南大学淮河医院，河南大学第一附属医院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679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603591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32D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7A5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河南省兽医生物技术重点实验室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D50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河南农业大学，</w:t>
            </w:r>
            <w:r>
              <w:rPr>
                <w:rStyle w:val="14"/>
                <w:rFonts w:hint="default" w:ascii="Times New Roman" w:hAnsi="Times New Roman" w:cs="Times New Roman"/>
                <w:color w:val="000000"/>
                <w:lang w:val="en-US" w:eastAsia="zh-CN" w:bidi="ar"/>
              </w:rPr>
              <w:t>畜产品质量安全技术研究院</w:t>
            </w:r>
            <w:r>
              <w:rPr>
                <w:rStyle w:val="15"/>
                <w:rFonts w:hint="default" w:ascii="Times New Roman" w:hAnsi="Times New Roman" w:cs="Times New Roman"/>
                <w:color w:val="000000"/>
                <w:lang w:val="en-US" w:eastAsia="zh-CN" w:bidi="ar"/>
              </w:rPr>
              <w:t>，洛阳莱普生信息科技有限公司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440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162551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65E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B2D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河南省新型农药创制与应用重点实验室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0C2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河南农业大学，内蒙古清源保生物科技有限公司，六夫丁作物保护有限公司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775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63623C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37C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813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河南省微生态与食管癌防治重点实验室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3AD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河南科技大学，河南科技大学第一附属医院，河南省科学院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6B1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51453D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F10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4B7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河南省有机功能分子与药物创新重点实验室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B2E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河南师范大学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393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286926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F61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702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河南省病毒性疾病中医药防治重点实验室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BE0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河南中医药大学，河南省传染病医院，郑州安图生物工程股份有限公司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9F5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189D09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DE0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1A8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河南省免疫与心血管病中医药防治重点实验室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FF3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河南中医药大学，郑州西区中医院，郑州天骄医药科技有限公司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5D3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69A35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4398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73B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河南省中药资源与中药化学重点实验室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6D51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河南中医药大学，仲景宛西制药股份有限公司，河南羚锐制药股份有限公司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FB9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65A874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9D3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7D9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河南省中医方证信号传导重点实验室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5E0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河南中医药大学，郑州市中医院，博济医药科技股份有限公司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9DB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510A65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DCD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6A7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河南省中医药防治呼吸病重点实验室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CE8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河南中医药大学，江苏省药物安全性评价中心，上海凯宝药业股份有限公司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36F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27F97D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E2B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0FB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河南省仲景方药与现代中药重点实验室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7F0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河南中医药大学，大汉药业（河南）有限公司，河南省新四方制药有限公司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F84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372BB4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7AA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9A1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河南省精细化工重点实验室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957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河南省科学院高新技术研究中心，河南省科学院化学研究所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417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河南省科学院</w:t>
            </w:r>
          </w:p>
        </w:tc>
      </w:tr>
      <w:tr w14:paraId="3248D3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11A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0C6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河南省工程材料与水工结构重点实验室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1540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郑州大学，河南城建学院，中国建筑第七工程局有限公司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AC9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3B3FCA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85B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8857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河南省岩土工程检测与防护重点实验室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BC31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C6C5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4FD45E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F7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7114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河南省环境化学与低碳技术重点实验室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4CB8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kern w:val="0"/>
                <w:sz w:val="22"/>
                <w:szCs w:val="22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86BA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河南省教育厅、郑州市科学技术局</w:t>
            </w:r>
          </w:p>
        </w:tc>
      </w:tr>
      <w:tr w14:paraId="74B8ED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B37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323C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河南省大气污染防治与生态安全重点实验室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626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河南大学，河南省气象台，广州禾信仪器股份有限公司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169E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2AE311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1E0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5ED9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河南省地球系统观测与模拟重点实验室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0D77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河南大学，中科地星信息技术有限公司，河南省城乡规划设计研究总院股份有限公司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864D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051EFD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07D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8A37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河南省土壤污染防控与修复重点实验室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26B2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河南农业大学，环保桥（湖南）生态环境工程股份有限公司，河南中米生态科技有限公司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F669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1769B0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E66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E5D9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河南省环境污染控制重点实验室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F0B7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河南师范大学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3DDD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45AB5D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642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A4D8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河南省煤矿灾害防控与应急重点实验室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1361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河南理工大学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70E2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6CFC60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84E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5F33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河南省煤炭资源绿色智能开采重点实验室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9BCB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河南理工大学，河南能源集团有限公司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391A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河南省教育厅、焦作市科学技术局</w:t>
            </w:r>
          </w:p>
        </w:tc>
      </w:tr>
      <w:tr w14:paraId="3CF94F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830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141A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河南省地下工程智能建造与安全运维重点实验室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E593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河南理工大学，河南省交通规划设计研究院股份有限公司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E822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60593D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3B6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6A96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河南省粮油仓储建筑与安全重点实验室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B49B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河南工业大学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35E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66A794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9FA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A775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河南省岩土力学与结构工程重点实验室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9415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华北水利水电大学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D31C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1CC403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1D2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31F7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河南省水圈与流域水安全重点实验室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6A5B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华北水利水电大学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CD1C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4A2801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2BB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6D5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河南省黄河流域水资源节约集约利用重点实验室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44C9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华北水利水电大学，河南云际检测技术有限公司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80E9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河南省教育厅、郑州市科学技术局</w:t>
            </w:r>
          </w:p>
        </w:tc>
      </w:tr>
      <w:tr w14:paraId="6AE7B1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64F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E1D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河南省地质环境智能监测与灾害防控重点实验室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B4F9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华北水利水电大学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598A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2F06A2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844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F767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河南省水环境模拟与治理重点实验室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0BE0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华北水利水电大学，河南水利投资集团有限公司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9A27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河南省教育厅、河南省水利厅</w:t>
            </w:r>
          </w:p>
        </w:tc>
      </w:tr>
      <w:tr w14:paraId="16D93C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728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7242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河南省遥感与地理信息系统重点实验室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3AD2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河南省科学院地理研究所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3142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河南省科学院</w:t>
            </w:r>
          </w:p>
        </w:tc>
      </w:tr>
      <w:tr w14:paraId="562A81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0AE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644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河南省动物免疫学重点实验室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F3A1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河南省农业科学院动物疫病防控研究所（河南省农业科学院动物免疫学重点实验室）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8956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河南省农业科学院</w:t>
            </w:r>
          </w:p>
        </w:tc>
      </w:tr>
      <w:tr w14:paraId="1D50E2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17C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446D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河南省离子束绿色农业生物工程重点实验室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9335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D8C1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3C5F6C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8012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251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河南省饲草资源创新与利用重点实验室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82B3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河南农业大学，河南省奶牛生产性能测定中心，郑州田园牧歌草业有限公司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9346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4F0BE1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B9F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7C9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河南省动物性食品病原体监控重点实验室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439A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河南农业大学，商丘美兰生物工程有限公司，郑州力之天农业科技有限公司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E415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527600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BDF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130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河南省鸡种质资源创新与利用重点实验室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1167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河南农业大学，河南三高农牧股份有限公司，河南丰园禽业有限公司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EA27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347BE1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1A4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0D0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河南省农村可再生能源重点实验室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3972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河南农业大学，河南省高新技术实业有限公司，河南省四通锅炉有限公司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AF42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2D0AD0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75D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7D8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河南省肉制品加工与质量安全控制重点实验室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87C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河南农业大学，河南九豫全食品有限公司，河南御江食品股份有限公司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C263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1FEDF8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E9B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1D2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河南省水稻分子育种与高效生产重点实验室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6F9A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河南农业大学，河南黄国粮业股份有限公司，信阳市农业科学院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F01F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6E8D3F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E2D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E01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河南省作物生长发育调控重点实验室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83BC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河南农业大学，洛阳市农林科学院，河南省田金生物科技有限公司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E175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41FA38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235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A46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河南省牡丹特色资源植物高效培育与综合利用重点实验室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CC8B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河南科技大学，洛阳农林科学院，中国洛阳国家牡丹基因库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673C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525D8C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97CA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D9F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河南省生物工程重点实验室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85BE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河南师范大学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C7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30BB4C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180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810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河南省粮油食品安全与营养重点实验室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BEA9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河南工业大学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CF93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3DA120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5EB6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5AA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河南省谷物科学与技术重点实验室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7541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河南工业大学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4A36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7DEB1F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43E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C37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河南省粮食仓储信息智能感知与决策重点实验室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4645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河南工业大学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195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196D52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11D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200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河南省粮食资源转化与利用重点实验室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4CC8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河南工业大学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B64B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  <w:tr w14:paraId="0DC39B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5D3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E03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河南省微生物工程重点实验室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98EA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河南省科学院生物研究所有限责任公司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7D3C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河南省科学院</w:t>
            </w:r>
          </w:p>
        </w:tc>
      </w:tr>
      <w:tr w14:paraId="4AD94B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B10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45F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河南省核农学重点实验室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C3F5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河南省科学院同位素研究所有限责任公司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7763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河南省科学院</w:t>
            </w:r>
          </w:p>
        </w:tc>
      </w:tr>
      <w:tr w14:paraId="706CAE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F15A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B94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河南省动物繁育与营养调控重点实验室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A97A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河南省农业科学院畜牧研究所，河南省水产科学研究院，河南省蚕业科学研究院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9F2A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河南省农业科学院</w:t>
            </w:r>
          </w:p>
        </w:tc>
      </w:tr>
      <w:tr w14:paraId="187EDD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EB5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43D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河南省农产品质量安全与加工重点实验室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7D26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河南省农业科学院农产品质量安全研究所，河南省农业科学院农产品加工研究中心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B5BB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河南省农业科学院</w:t>
            </w:r>
          </w:p>
        </w:tc>
      </w:tr>
      <w:tr w14:paraId="442A8A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A62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AAD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河南省农业有害生物监测与防控重点实验室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863F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河南省农业科学院植物保护研究所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D39A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河南省农业科学院</w:t>
            </w:r>
          </w:p>
        </w:tc>
      </w:tr>
      <w:tr w14:paraId="31D8B1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5E0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23A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河南省农业资源与环境重点实验室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08E6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河南省农业科学院植物营养与资源环境研究所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1EB2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河南省农业科学院</w:t>
            </w:r>
          </w:p>
        </w:tc>
      </w:tr>
      <w:tr w14:paraId="3BD54D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8E2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6B00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河南省特色作物基因组学重点实验室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CE07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河南省农业科学院芝麻研究中心，河南省农业科学院园艺研究所，河南省农业科学院蔬菜研究所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06FC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河南省农业科学院</w:t>
            </w:r>
          </w:p>
        </w:tc>
      </w:tr>
      <w:tr w14:paraId="515074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50C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735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河南省小麦种质资源与遗传改良重点实验室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04A1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河南省作物分子育种研究院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3F8E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河南省农业科学院</w:t>
            </w:r>
          </w:p>
        </w:tc>
      </w:tr>
      <w:tr w14:paraId="1238E1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09A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0E2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河南省油料作物遗传改良重点实验室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AD0D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河南省作物分子育种研究院，河南省农业科学院经济作物研究所，河南省农业科学院花生研究所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0FB9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河南省农业科学院</w:t>
            </w:r>
          </w:p>
        </w:tc>
      </w:tr>
      <w:tr w14:paraId="5A6397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C6E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F10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河南省玉米生物学重点实验室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A6D3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河南省农业科学院粮食作物研究所，河南省农业科学院农作物种质资源研究所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38BB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河南省农业科学院</w:t>
            </w:r>
          </w:p>
        </w:tc>
      </w:tr>
      <w:tr w14:paraId="666EE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4" w:hRule="atLeast"/>
          <w:jc w:val="center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452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3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F20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河南省数字金融重点实验室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5CCB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郑州大学，河南周口国家农业高新技术产业示范区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D9DB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</w:tr>
    </w:tbl>
    <w:p w14:paraId="365D1D2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0" w:lineRule="exact"/>
        <w:textAlignment w:val="auto"/>
        <w:rPr>
          <w:rFonts w:hint="default" w:ascii="Times New Roman" w:hAnsi="Times New Roman" w:cs="Times New Roman"/>
        </w:rPr>
      </w:pPr>
    </w:p>
    <w:sectPr>
      <w:headerReference r:id="rId3" w:type="default"/>
      <w:footerReference r:id="rId4" w:type="default"/>
      <w:pgSz w:w="11906" w:h="16838"/>
      <w:pgMar w:top="2098" w:right="1474" w:bottom="1814" w:left="1587" w:header="851" w:footer="133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angSong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212348"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  <w:rPr>
        <w:rFonts w:ascii="Arial" w:hAnsi="Arial" w:eastAsia="Arial" w:cs="Arial"/>
        <w:snapToGrid w:val="0"/>
        <w:color w:val="000000"/>
        <w:kern w:val="0"/>
        <w:sz w:val="18"/>
        <w:szCs w:val="21"/>
        <w:lang w:val="en-US" w:eastAsia="en-US" w:bidi="ar-SA"/>
      </w:rPr>
    </w:pPr>
    <w:r>
      <w:rPr>
        <w:rFonts w:ascii="Arial" w:hAnsi="Arial" w:eastAsia="Arial" w:cs="Arial"/>
        <w:snapToGrid w:val="0"/>
        <w:color w:val="000000"/>
        <w:kern w:val="0"/>
        <w:sz w:val="18"/>
        <w:szCs w:val="21"/>
        <w:lang w:val="en-US" w:eastAsia="en-US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DCE08C">
                          <w:pPr>
                            <w:kinsoku w:val="0"/>
                            <w:autoSpaceDE w:val="0"/>
                            <w:autoSpaceDN w:val="0"/>
                            <w:adjustRightInd w:val="0"/>
                            <w:snapToGrid w:val="0"/>
                            <w:spacing w:line="240" w:lineRule="auto"/>
                            <w:jc w:val="left"/>
                            <w:textAlignment w:val="baseline"/>
                            <w:rPr>
                              <w:rFonts w:hint="eastAsia" w:ascii="宋体" w:hAnsi="宋体" w:eastAsia="宋体" w:cs="宋体"/>
                              <w:snapToGrid w:val="0"/>
                              <w:color w:val="FFFFFF"/>
                              <w:kern w:val="0"/>
                              <w:sz w:val="28"/>
                              <w:szCs w:val="28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napToGrid w:val="0"/>
                              <w:color w:val="FFFFFF"/>
                              <w:kern w:val="0"/>
                              <w:sz w:val="28"/>
                              <w:szCs w:val="28"/>
                              <w:lang w:val="en-US" w:eastAsia="zh-CN" w:bidi="ar-SA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napToGrid w:val="0"/>
                              <w:color w:val="000000"/>
                              <w:kern w:val="0"/>
                              <w:sz w:val="28"/>
                              <w:szCs w:val="28"/>
                              <w:lang w:val="en-US" w:eastAsia="zh-CN" w:bidi="ar-SA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napToGrid w:val="0"/>
                              <w:color w:val="000000"/>
                              <w:kern w:val="0"/>
                              <w:sz w:val="28"/>
                              <w:szCs w:val="28"/>
                              <w:lang w:val="en-US" w:eastAsia="en-US" w:bidi="ar-SA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napToGrid w:val="0"/>
                              <w:color w:val="000000"/>
                              <w:kern w:val="0"/>
                              <w:sz w:val="28"/>
                              <w:szCs w:val="28"/>
                              <w:lang w:val="en-US" w:eastAsia="en-US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napToGrid w:val="0"/>
                              <w:color w:val="000000"/>
                              <w:kern w:val="0"/>
                              <w:sz w:val="28"/>
                              <w:szCs w:val="28"/>
                              <w:lang w:val="en-US" w:eastAsia="en-US" w:bidi="ar-SA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napToGrid w:val="0"/>
                              <w:color w:val="000000"/>
                              <w:kern w:val="0"/>
                              <w:sz w:val="28"/>
                              <w:szCs w:val="28"/>
                              <w:lang w:val="en-US" w:eastAsia="en-US" w:bidi="ar-SA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napToGrid w:val="0"/>
                              <w:color w:val="000000"/>
                              <w:kern w:val="0"/>
                              <w:sz w:val="28"/>
                              <w:szCs w:val="28"/>
                              <w:lang w:val="en-US" w:eastAsia="en-US" w:bidi="ar-SA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napToGrid w:val="0"/>
                              <w:color w:val="000000"/>
                              <w:kern w:val="0"/>
                              <w:sz w:val="28"/>
                              <w:szCs w:val="28"/>
                              <w:lang w:val="en-US" w:eastAsia="zh-CN" w:bidi="ar-SA"/>
                            </w:rPr>
                            <w:t xml:space="preserve"> —</w:t>
                          </w:r>
                          <w:r>
                            <w:rPr>
                              <w:rFonts w:hint="eastAsia" w:ascii="宋体" w:hAnsi="宋体" w:eastAsia="宋体" w:cs="宋体"/>
                              <w:snapToGrid w:val="0"/>
                              <w:color w:val="FFFFFF"/>
                              <w:kern w:val="0"/>
                              <w:sz w:val="28"/>
                              <w:szCs w:val="28"/>
                              <w:lang w:val="en-US" w:eastAsia="zh-CN" w:bidi="ar-SA"/>
                            </w:rPr>
                            <w:t>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5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DOKJki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8DCE08C">
                    <w:pPr>
                      <w:kinsoku w:val="0"/>
                      <w:autoSpaceDE w:val="0"/>
                      <w:autoSpaceDN w:val="0"/>
                      <w:adjustRightInd w:val="0"/>
                      <w:snapToGrid w:val="0"/>
                      <w:spacing w:line="240" w:lineRule="auto"/>
                      <w:jc w:val="left"/>
                      <w:textAlignment w:val="baseline"/>
                      <w:rPr>
                        <w:rFonts w:hint="eastAsia" w:ascii="宋体" w:hAnsi="宋体" w:eastAsia="宋体" w:cs="宋体"/>
                        <w:snapToGrid w:val="0"/>
                        <w:color w:val="FFFFFF"/>
                        <w:kern w:val="0"/>
                        <w:sz w:val="28"/>
                        <w:szCs w:val="28"/>
                        <w:lang w:val="en-US" w:eastAsia="zh-CN" w:bidi="ar-SA"/>
                      </w:rPr>
                    </w:pPr>
                    <w:r>
                      <w:rPr>
                        <w:rFonts w:hint="eastAsia" w:ascii="宋体" w:hAnsi="宋体" w:eastAsia="宋体" w:cs="宋体"/>
                        <w:snapToGrid w:val="0"/>
                        <w:color w:val="FFFFFF"/>
                        <w:kern w:val="0"/>
                        <w:sz w:val="28"/>
                        <w:szCs w:val="28"/>
                        <w:lang w:val="en-US" w:eastAsia="zh-CN" w:bidi="ar-SA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napToGrid w:val="0"/>
                        <w:color w:val="000000"/>
                        <w:kern w:val="0"/>
                        <w:sz w:val="28"/>
                        <w:szCs w:val="28"/>
                        <w:lang w:val="en-US" w:eastAsia="zh-CN" w:bidi="ar-SA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napToGrid w:val="0"/>
                        <w:color w:val="000000"/>
                        <w:kern w:val="0"/>
                        <w:sz w:val="28"/>
                        <w:szCs w:val="28"/>
                        <w:lang w:val="en-US" w:eastAsia="en-US" w:bidi="ar-SA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napToGrid w:val="0"/>
                        <w:color w:val="000000"/>
                        <w:kern w:val="0"/>
                        <w:sz w:val="28"/>
                        <w:szCs w:val="28"/>
                        <w:lang w:val="en-US" w:eastAsia="en-US" w:bidi="ar-SA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napToGrid w:val="0"/>
                        <w:color w:val="000000"/>
                        <w:kern w:val="0"/>
                        <w:sz w:val="28"/>
                        <w:szCs w:val="28"/>
                        <w:lang w:val="en-US" w:eastAsia="en-US" w:bidi="ar-SA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napToGrid w:val="0"/>
                        <w:color w:val="000000"/>
                        <w:kern w:val="0"/>
                        <w:sz w:val="28"/>
                        <w:szCs w:val="28"/>
                        <w:lang w:val="en-US" w:eastAsia="en-US" w:bidi="ar-SA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napToGrid w:val="0"/>
                        <w:color w:val="000000"/>
                        <w:kern w:val="0"/>
                        <w:sz w:val="28"/>
                        <w:szCs w:val="28"/>
                        <w:lang w:val="en-US" w:eastAsia="en-US" w:bidi="ar-SA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napToGrid w:val="0"/>
                        <w:color w:val="000000"/>
                        <w:kern w:val="0"/>
                        <w:sz w:val="28"/>
                        <w:szCs w:val="28"/>
                        <w:lang w:val="en-US" w:eastAsia="zh-CN" w:bidi="ar-SA"/>
                      </w:rPr>
                      <w:t xml:space="preserve"> —</w:t>
                    </w:r>
                    <w:r>
                      <w:rPr>
                        <w:rFonts w:hint="eastAsia" w:ascii="宋体" w:hAnsi="宋体" w:eastAsia="宋体" w:cs="宋体"/>
                        <w:snapToGrid w:val="0"/>
                        <w:color w:val="FFFFFF"/>
                        <w:kern w:val="0"/>
                        <w:sz w:val="28"/>
                        <w:szCs w:val="28"/>
                        <w:lang w:val="en-US" w:eastAsia="zh-CN" w:bidi="ar-SA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498980">
    <w:pPr>
      <w:kinsoku w:val="0"/>
      <w:autoSpaceDE w:val="0"/>
      <w:autoSpaceDN w:val="0"/>
      <w:adjustRightInd w:val="0"/>
      <w:snapToGrid w:val="0"/>
      <w:spacing w:before="63" w:line="222" w:lineRule="auto"/>
      <w:ind w:left="3815"/>
      <w:jc w:val="left"/>
      <w:textAlignment w:val="baseline"/>
      <w:rPr>
        <w:rFonts w:ascii="黑体" w:hAnsi="黑体" w:eastAsia="黑体" w:cs="黑体"/>
        <w:snapToGrid w:val="0"/>
        <w:color w:val="000000"/>
        <w:kern w:val="0"/>
        <w:sz w:val="24"/>
        <w:szCs w:val="24"/>
        <w:lang w:val="en-US" w:eastAsia="en-US" w:bidi="ar-S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EBDB42"/>
    <w:rsid w:val="1BCD343D"/>
    <w:rsid w:val="1DFED373"/>
    <w:rsid w:val="1FEED542"/>
    <w:rsid w:val="264D464E"/>
    <w:rsid w:val="337F0E97"/>
    <w:rsid w:val="3BD8CCF4"/>
    <w:rsid w:val="3EAB0813"/>
    <w:rsid w:val="3F8F8D04"/>
    <w:rsid w:val="40884689"/>
    <w:rsid w:val="4DBFFFDD"/>
    <w:rsid w:val="53BBD1DA"/>
    <w:rsid w:val="53FECD3E"/>
    <w:rsid w:val="5AF04024"/>
    <w:rsid w:val="5DDFEAD2"/>
    <w:rsid w:val="5E5EF568"/>
    <w:rsid w:val="5FFE54F5"/>
    <w:rsid w:val="63111A5B"/>
    <w:rsid w:val="68FB3293"/>
    <w:rsid w:val="6BDF16E5"/>
    <w:rsid w:val="6D779B64"/>
    <w:rsid w:val="6E1C236B"/>
    <w:rsid w:val="6E3BAD91"/>
    <w:rsid w:val="6F6B75C1"/>
    <w:rsid w:val="73FB816B"/>
    <w:rsid w:val="74A95E9E"/>
    <w:rsid w:val="76B9DA29"/>
    <w:rsid w:val="779F2FD1"/>
    <w:rsid w:val="77FC6B49"/>
    <w:rsid w:val="7B7E0752"/>
    <w:rsid w:val="7BDF9DBD"/>
    <w:rsid w:val="7BF053DB"/>
    <w:rsid w:val="7BFFE64D"/>
    <w:rsid w:val="7D2D0FAC"/>
    <w:rsid w:val="7E7F9FEA"/>
    <w:rsid w:val="7EABADDA"/>
    <w:rsid w:val="7F3F130E"/>
    <w:rsid w:val="7F9E5F7C"/>
    <w:rsid w:val="7FEF1C34"/>
    <w:rsid w:val="7FF7F7D5"/>
    <w:rsid w:val="8E63488A"/>
    <w:rsid w:val="9DFF1386"/>
    <w:rsid w:val="9F8FB36D"/>
    <w:rsid w:val="9FF30957"/>
    <w:rsid w:val="AD7A5CC1"/>
    <w:rsid w:val="ADFD8176"/>
    <w:rsid w:val="B3F61EC1"/>
    <w:rsid w:val="B77AA23A"/>
    <w:rsid w:val="B7BEBEE0"/>
    <w:rsid w:val="B7FE7BC0"/>
    <w:rsid w:val="B9AED19B"/>
    <w:rsid w:val="BBA44902"/>
    <w:rsid w:val="BFFFC581"/>
    <w:rsid w:val="BFFFF593"/>
    <w:rsid w:val="CEDD1A9F"/>
    <w:rsid w:val="CF9BDE87"/>
    <w:rsid w:val="D5F77FC0"/>
    <w:rsid w:val="D6E6CAC0"/>
    <w:rsid w:val="DF3FC876"/>
    <w:rsid w:val="DFCF2D00"/>
    <w:rsid w:val="EABFC134"/>
    <w:rsid w:val="F3F6E2F9"/>
    <w:rsid w:val="F7BEB744"/>
    <w:rsid w:val="FA375C01"/>
    <w:rsid w:val="FAFB1015"/>
    <w:rsid w:val="FB5A66F3"/>
    <w:rsid w:val="FEFE007C"/>
    <w:rsid w:val="FF750C41"/>
    <w:rsid w:val="FF7FD3D6"/>
    <w:rsid w:val="FFA79849"/>
    <w:rsid w:val="FFB76DCE"/>
    <w:rsid w:val="FFBF5B6F"/>
    <w:rsid w:val="FFE5ECA3"/>
    <w:rsid w:val="FFFC0080"/>
    <w:rsid w:val="FFFFB41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480" w:after="80"/>
      <w:outlineLvl w:val="0"/>
    </w:pPr>
    <w:rPr>
      <w:rFonts w:ascii="Calibri Light" w:hAnsi="Calibri Light" w:eastAsia="宋体" w:cs="Times New Roman"/>
      <w:color w:val="2E75B5"/>
      <w:sz w:val="48"/>
      <w:szCs w:val="48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semiHidden/>
    <w:qFormat/>
    <w:uiPriority w:val="0"/>
    <w:rPr>
      <w:rFonts w:ascii="黑体" w:hAnsi="黑体" w:eastAsia="黑体" w:cs="黑体"/>
      <w:sz w:val="28"/>
      <w:szCs w:val="28"/>
      <w:lang w:val="en-US" w:eastAsia="en-US" w:bidi="ar-SA"/>
    </w:rPr>
  </w:style>
  <w:style w:type="paragraph" w:styleId="4">
    <w:name w:val="Body Text 2"/>
    <w:basedOn w:val="1"/>
    <w:qFormat/>
    <w:uiPriority w:val="0"/>
    <w:pPr>
      <w:adjustRightInd w:val="0"/>
      <w:spacing w:line="360" w:lineRule="auto"/>
      <w:textAlignment w:val="baseline"/>
    </w:pPr>
    <w:rPr>
      <w:rFonts w:ascii="楷体_GB2312" w:eastAsia="楷体_GB2312"/>
      <w:kern w:val="44"/>
      <w:sz w:val="28"/>
      <w:szCs w:val="20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  <w:rPr>
      <w:kern w:val="0"/>
      <w:sz w:val="20"/>
      <w:szCs w:val="20"/>
    </w:rPr>
  </w:style>
  <w:style w:type="paragraph" w:styleId="6">
    <w:name w:val="Body Text Indent 2"/>
    <w:basedOn w:val="1"/>
    <w:qFormat/>
    <w:uiPriority w:val="0"/>
    <w:pPr>
      <w:spacing w:after="120" w:line="480" w:lineRule="auto"/>
      <w:ind w:left="420" w:leftChars="200"/>
    </w:pPr>
    <w:rPr>
      <w:kern w:val="0"/>
      <w:sz w:val="20"/>
      <w:szCs w:val="20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Hyperlink"/>
    <w:basedOn w:val="11"/>
    <w:uiPriority w:val="0"/>
    <w:rPr>
      <w:color w:val="0000FF"/>
      <w:u w:val="single"/>
    </w:rPr>
  </w:style>
  <w:style w:type="character" w:customStyle="1" w:styleId="14">
    <w:name w:val="font01"/>
    <w:basedOn w:val="11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5">
    <w:name w:val="font21"/>
    <w:basedOn w:val="11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paragraph" w:customStyle="1" w:styleId="16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28"/>
      <w:szCs w:val="28"/>
      <w:lang w:val="en-US" w:eastAsia="en-US" w:bidi="ar-SA"/>
    </w:rPr>
  </w:style>
  <w:style w:type="table" w:customStyle="1" w:styleId="1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4502</Words>
  <Characters>4604</Characters>
  <Lines>0</Lines>
  <Paragraphs>0</Paragraphs>
  <TotalTime>12</TotalTime>
  <ScaleCrop>false</ScaleCrop>
  <LinksUpToDate>false</LinksUpToDate>
  <CharactersWithSpaces>4604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2014-11-04T20:08:00Z</dcterms:created>
  <dc:creator>Administrator</dc:creator>
  <cp:lastModifiedBy>王玥汗</cp:lastModifiedBy>
  <cp:lastPrinted>2026-04-30T03:33:00Z</cp:lastPrinted>
  <dcterms:modified xsi:type="dcterms:W3CDTF">2026-04-30T03:19:52Z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eyJoZGlkIjoiN2E3NDNkZmM3NzU4OWM0MWQzNWY2MDRmZDIxYmQxZmEiLCJ1c2VySWQiOiI1OTI5NDA0MTAifQ==</vt:lpwstr>
  </property>
  <property fmtid="{D5CDD505-2E9C-101B-9397-08002B2CF9AE}" pid="4" name="ICV">
    <vt:lpwstr>E1313B7C6EEC4EB599B20FF52BDBC8C6_13</vt:lpwstr>
  </property>
</Properties>
</file>